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附件2：</w:t>
      </w:r>
    </w:p>
    <w:p>
      <w:pPr>
        <w:rPr>
          <w:rFonts w:hint="eastAsia"/>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高等学校哲学社会科学学科体系、学术体系、话语</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体系建设 (2018-2023) 优秀典型案例征集说明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一、内容范围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对标对表《面向 2035 高校哲学社会科学高质量发展行动计划》中“三大体系” 建设的相关内容，案例内容范围包括但不限于以下：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——以习近平新时代中国特色社会主义思想统领高等学校哲学社会科学学科体系、学术体系、话语体系建设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——优化学科专业布局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——推进学科交叉融合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——打造一流学科专业群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——传承发展中华优秀传统文化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——扎根中国推进理论创新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——创新研究方法手段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——加强创新平台建设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——提升教育出版水平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——提升话语体系创新能力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——推进学术话语的大众传播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——强化中国话语的国际传播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——中国特色新型高校智库建设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——哲学社会科学人才队伍建设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——深化人才发展体制机制改革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——深化评价体系改革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——推动组织方式变革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——学术生态及学风建设</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相关要求</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（1）案例发生于 2018 年以来，各项数据和信息真实、有效、准确。（2）每个案例文字材料不超过 3000 字，包括案例概述、特色做法、重点难点、成效经验、社会影响等内容，要求彰显特色、深入透彻、有理有据，切忌面面俱到、空洞无物。（3）结合案例内容，确定案例名称，可附相应图片(JPG 格式原图，无水印，无版权纠纷），并配文字说明。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三、案例用途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最终遴选采用的优秀典型案例将形成汇编，报教育部领导及相关司局、全国哲学社会科学工作办公室等。</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D111"/>
    <w:multiLevelType w:val="singleLevel"/>
    <w:tmpl w:val="A85AD1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GNlNTliNTQwZTExZjZmZTAyMzViNzY0OTg5MmEifQ=="/>
  </w:docVars>
  <w:rsids>
    <w:rsidRoot w:val="062F3EAF"/>
    <w:rsid w:val="062F3EAF"/>
    <w:rsid w:val="2B6A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2023-10-09T09:14:00Z</dcterms:created>
  <dc:creator>下弦之月</dc:creator>
  <cp:lastModifiedBy>下弦之月</cp:lastModifiedBy>
  <dcterms:modified xsi:type="dcterms:W3CDTF">2023-10-09T09:17:05Z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02D1F05759A64234BA08F386EC746EBB_11</vt:lpwstr>
  </property>
</Properties>
</file>